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6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124"/>
        <w:gridCol w:w="3866"/>
        <w:gridCol w:w="9070"/>
      </w:tblGrid>
      <w:tr w:rsidR="002D4D80">
        <w:trPr>
          <w:trHeight w:val="370"/>
        </w:trPr>
        <w:tc>
          <w:tcPr>
            <w:tcW w:w="14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4D80" w:rsidRDefault="00F512D2">
            <w:bookmarkStart w:id="0" w:name="_GoBack"/>
            <w:bookmarkEnd w:id="0"/>
            <w:r>
              <w:rPr>
                <w:b/>
                <w:bCs/>
                <w:sz w:val="28"/>
                <w:szCs w:val="28"/>
              </w:rPr>
              <w:t>ИМЕ И ПРЕЗИМЕ</w:t>
            </w:r>
            <w:r>
              <w:rPr>
                <w:b/>
                <w:bCs/>
                <w:sz w:val="28"/>
                <w:szCs w:val="28"/>
                <w:lang w:val="es-ES_tradnl"/>
              </w:rPr>
              <w:t xml:space="preserve">: Joseph </w:t>
            </w:r>
            <w:proofErr w:type="spellStart"/>
            <w:r>
              <w:rPr>
                <w:b/>
                <w:bCs/>
                <w:sz w:val="28"/>
                <w:szCs w:val="28"/>
                <w:lang w:val="es-ES_tradnl"/>
              </w:rPr>
              <w:t>Haldane</w:t>
            </w:r>
            <w:proofErr w:type="spellEnd"/>
            <w:r>
              <w:rPr>
                <w:b/>
                <w:bCs/>
                <w:sz w:val="28"/>
                <w:szCs w:val="28"/>
                <w:lang w:val="es-ES_tradnl"/>
              </w:rPr>
              <w:t xml:space="preserve">, </w:t>
            </w:r>
            <w:r>
              <w:rPr>
                <w:b/>
                <w:bCs/>
                <w:sz w:val="28"/>
                <w:szCs w:val="28"/>
              </w:rPr>
              <w:t>Guest Professor</w:t>
            </w:r>
            <w:r>
              <w:rPr>
                <w:b/>
                <w:bCs/>
                <w:sz w:val="28"/>
                <w:szCs w:val="28"/>
                <w:lang w:val="es-ES_tradnl"/>
              </w:rPr>
              <w:t xml:space="preserve"> (</w:t>
            </w:r>
            <w:proofErr w:type="spellStart"/>
            <w:r>
              <w:rPr>
                <w:b/>
                <w:bCs/>
                <w:sz w:val="28"/>
                <w:szCs w:val="28"/>
              </w:rPr>
              <w:t>име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и </w:t>
            </w:r>
            <w:proofErr w:type="spellStart"/>
            <w:r>
              <w:rPr>
                <w:b/>
                <w:bCs/>
                <w:sz w:val="28"/>
                <w:szCs w:val="28"/>
              </w:rPr>
              <w:t>презиме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и </w:t>
            </w:r>
            <w:proofErr w:type="spellStart"/>
            <w:r>
              <w:rPr>
                <w:b/>
                <w:bCs/>
                <w:sz w:val="28"/>
                <w:szCs w:val="28"/>
              </w:rPr>
              <w:t>универзитет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) </w:t>
            </w:r>
            <w:proofErr w:type="spellStart"/>
            <w:r>
              <w:rPr>
                <w:b/>
                <w:bCs/>
                <w:sz w:val="28"/>
                <w:szCs w:val="28"/>
              </w:rPr>
              <w:t>Универзитет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Осака</w:t>
            </w:r>
            <w:proofErr w:type="spellEnd"/>
          </w:p>
        </w:tc>
      </w:tr>
      <w:tr w:rsidR="002D4D80">
        <w:trPr>
          <w:trHeight w:val="4321"/>
        </w:trPr>
        <w:tc>
          <w:tcPr>
            <w:tcW w:w="4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4D80" w:rsidRDefault="00F512D2">
            <w:r>
              <w:rPr>
                <w:b/>
                <w:bCs/>
                <w:sz w:val="22"/>
                <w:szCs w:val="22"/>
              </w:rPr>
              <w:t>РАДОВИ У МЕЂУНАРОДНИМ ЧАСОПИСИМА</w:t>
            </w:r>
          </w:p>
        </w:tc>
        <w:tc>
          <w:tcPr>
            <w:tcW w:w="9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4D80" w:rsidRDefault="00F512D2">
            <w:pPr>
              <w:pStyle w:val="a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‘</w:t>
            </w:r>
            <w:r>
              <w:rPr>
                <w:rFonts w:ascii="Times New Roman" w:hAnsi="Times New Roman"/>
                <w:lang w:val="fr-FR"/>
              </w:rPr>
              <w:t>La Chartreuse de Parme</w:t>
            </w:r>
            <w:r>
              <w:rPr>
                <w:rFonts w:ascii="Times New Roman" w:hAnsi="Times New Roman"/>
              </w:rPr>
              <w:t xml:space="preserve">’, article in The Literary </w:t>
            </w:r>
            <w:proofErr w:type="spellStart"/>
            <w:r>
              <w:rPr>
                <w:rFonts w:ascii="Times New Roman" w:hAnsi="Times New Roman"/>
              </w:rPr>
              <w:t>Encyclopaedia</w:t>
            </w:r>
            <w:proofErr w:type="spellEnd"/>
            <w:r>
              <w:rPr>
                <w:rFonts w:ascii="Times New Roman" w:hAnsi="Times New Roman"/>
              </w:rPr>
              <w:t>, The Literary Dictionary</w:t>
            </w:r>
          </w:p>
          <w:p w:rsidR="002D4D80" w:rsidRDefault="00F512D2">
            <w:pPr>
              <w:pStyle w:val="a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Company Limited, London (2010)</w:t>
            </w:r>
          </w:p>
          <w:p w:rsidR="002D4D80" w:rsidRDefault="00F512D2">
            <w:pPr>
              <w:pStyle w:val="a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‘ Searching</w:t>
            </w:r>
            <w:proofErr w:type="gramEnd"/>
            <w:r>
              <w:rPr>
                <w:rFonts w:ascii="Times New Roman" w:hAnsi="Times New Roman"/>
              </w:rPr>
              <w:t xml:space="preserve"> for </w:t>
            </w:r>
            <w:proofErr w:type="spellStart"/>
            <w:r>
              <w:rPr>
                <w:rFonts w:ascii="Times New Roman" w:hAnsi="Times New Roman"/>
              </w:rPr>
              <w:t>Souces</w:t>
            </w:r>
            <w:proofErr w:type="spellEnd"/>
            <w:r>
              <w:rPr>
                <w:rFonts w:ascii="Times New Roman" w:hAnsi="Times New Roman"/>
              </w:rPr>
              <w:t xml:space="preserve">: Stendhal’s </w:t>
            </w:r>
            <w:proofErr w:type="spellStart"/>
            <w:r>
              <w:rPr>
                <w:rFonts w:ascii="Times New Roman" w:hAnsi="Times New Roman"/>
              </w:rPr>
              <w:t>Pilotis</w:t>
            </w:r>
            <w:proofErr w:type="spellEnd"/>
            <w:r>
              <w:rPr>
                <w:rFonts w:ascii="Times New Roman" w:hAnsi="Times New Roman"/>
              </w:rPr>
              <w:t xml:space="preserve"> and Literary Criticism’s Unstable Foundations’.</w:t>
            </w:r>
          </w:p>
          <w:p w:rsidR="002D4D80" w:rsidRDefault="00F512D2">
            <w:pPr>
              <w:pStyle w:val="a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Article in the Journal of Language, Culture and Communication, Volume 10, Number 2</w:t>
            </w:r>
          </w:p>
          <w:p w:rsidR="002D4D80" w:rsidRDefault="00F512D2">
            <w:pPr>
              <w:pStyle w:val="a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(Spring 2009).</w:t>
            </w:r>
          </w:p>
          <w:p w:rsidR="002D4D80" w:rsidRDefault="00F512D2">
            <w:pPr>
              <w:pStyle w:val="a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Summarizing Proust, Poisoning Aristotle, And Losing Montaigne: Reading,</w:t>
            </w:r>
          </w:p>
          <w:p w:rsidR="002D4D80" w:rsidRDefault="00F512D2">
            <w:pPr>
              <w:pStyle w:val="a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Not-Reading, And Being Read in the Modern World’. Article in the Journal of Language,</w:t>
            </w:r>
          </w:p>
          <w:p w:rsidR="002D4D80" w:rsidRDefault="00F512D2">
            <w:pPr>
              <w:pStyle w:val="a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Culture and Communication, Volume 10, Number 1 (Autumn 2008).</w:t>
            </w:r>
          </w:p>
          <w:p w:rsidR="002D4D80" w:rsidRDefault="00F512D2">
            <w:pPr>
              <w:pStyle w:val="a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‘</w:t>
            </w:r>
            <w:r>
              <w:rPr>
                <w:rFonts w:ascii="Times New Roman" w:hAnsi="Times New Roman"/>
                <w:lang w:val="fr-FR"/>
              </w:rPr>
              <w:t>Le Rouge et le noir</w:t>
            </w:r>
            <w:r>
              <w:rPr>
                <w:rFonts w:ascii="Times New Roman" w:hAnsi="Times New Roman"/>
              </w:rPr>
              <w:t xml:space="preserve">’, article in The Literary </w:t>
            </w:r>
            <w:proofErr w:type="spellStart"/>
            <w:r>
              <w:rPr>
                <w:rFonts w:ascii="Times New Roman" w:hAnsi="Times New Roman"/>
              </w:rPr>
              <w:t>Encyclopaedia</w:t>
            </w:r>
            <w:proofErr w:type="spellEnd"/>
            <w:r>
              <w:rPr>
                <w:rFonts w:ascii="Times New Roman" w:hAnsi="Times New Roman"/>
              </w:rPr>
              <w:t>, The Literary Dictionary</w:t>
            </w:r>
          </w:p>
          <w:p w:rsidR="002D4D80" w:rsidRDefault="00F512D2">
            <w:pPr>
              <w:pStyle w:val="a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Company Limited, London, 2008.</w:t>
            </w:r>
          </w:p>
          <w:p w:rsidR="002D4D80" w:rsidRDefault="00F512D2">
            <w:pPr>
              <w:pStyle w:val="a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‘Jung Chang &amp; Jon Halliday, Mao: The Unknown Story ’, Review in the Journal of</w:t>
            </w:r>
          </w:p>
          <w:p w:rsidR="002D4D80" w:rsidRDefault="00F512D2">
            <w:pPr>
              <w:pStyle w:val="a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Language, Culture and Communication (eds. John Elliott and Joseph Haldane) Volume</w:t>
            </w:r>
          </w:p>
          <w:p w:rsidR="002D4D80" w:rsidRDefault="00F512D2">
            <w:pPr>
              <w:pStyle w:val="a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8, Number 2, Spring 2007.</w:t>
            </w:r>
          </w:p>
          <w:p w:rsidR="002D4D80" w:rsidRDefault="00F512D2">
            <w:pPr>
              <w:pStyle w:val="a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Notice on M. </w:t>
            </w:r>
            <w:proofErr w:type="spellStart"/>
            <w:r>
              <w:rPr>
                <w:rFonts w:ascii="Times New Roman" w:hAnsi="Times New Roman"/>
              </w:rPr>
              <w:t>Beyle</w:t>
            </w:r>
            <w:proofErr w:type="spellEnd"/>
            <w:r>
              <w:rPr>
                <w:rFonts w:ascii="Times New Roman" w:hAnsi="Times New Roman"/>
              </w:rPr>
              <w:t xml:space="preserve"> by himself, Stendhal, (French-English Translation), http://stendhalforever.com/ob.html, January 2007.</w:t>
            </w:r>
          </w:p>
          <w:p w:rsidR="002D4D80" w:rsidRDefault="00F512D2">
            <w:pPr>
              <w:pStyle w:val="a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‘</w:t>
            </w:r>
            <w:r>
              <w:rPr>
                <w:rFonts w:ascii="Times New Roman" w:hAnsi="Times New Roman"/>
                <w:lang w:val="pt-PT"/>
              </w:rPr>
              <w:t xml:space="preserve">Kazuo Ishiguro, Never Let Me Go </w:t>
            </w:r>
            <w:r>
              <w:rPr>
                <w:rFonts w:ascii="Times New Roman" w:hAnsi="Times New Roman"/>
              </w:rPr>
              <w:t>’, Review in the Journal of Language, Culture and</w:t>
            </w:r>
          </w:p>
          <w:p w:rsidR="002D4D80" w:rsidRDefault="00F512D2">
            <w:pPr>
              <w:pStyle w:val="a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Communication (ed. George Watt) Volume 7, Number 2, November 2005.</w:t>
            </w:r>
          </w:p>
        </w:tc>
      </w:tr>
      <w:tr w:rsidR="002D4D80">
        <w:trPr>
          <w:trHeight w:val="1201"/>
        </w:trPr>
        <w:tc>
          <w:tcPr>
            <w:tcW w:w="4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4D80" w:rsidRDefault="00F512D2">
            <w:r>
              <w:rPr>
                <w:b/>
                <w:bCs/>
                <w:sz w:val="22"/>
                <w:szCs w:val="22"/>
              </w:rPr>
              <w:t>РАДОВИ САОПШТЕНИ НА МЕЂУН. СКУПОВИМА</w:t>
            </w:r>
          </w:p>
        </w:tc>
        <w:tc>
          <w:tcPr>
            <w:tcW w:w="9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4D80" w:rsidRDefault="00F512D2">
            <w:pPr>
              <w:pStyle w:val="a0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‘Summarizing Proust, Poisoning Aristotle, And Losing Montaigne: Reading,</w:t>
            </w:r>
          </w:p>
          <w:p w:rsidR="002D4D80" w:rsidRDefault="00F512D2">
            <w:pPr>
              <w:pStyle w:val="a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Not-Reading, And Being Read in the Modern World’</w:t>
            </w:r>
            <w:r>
              <w:rPr>
                <w:rFonts w:ascii="Times New Roman" w:hAnsi="Times New Roman"/>
                <w:lang w:val="it-IT"/>
              </w:rPr>
              <w:t>. Hawaii International Conference</w:t>
            </w:r>
          </w:p>
          <w:p w:rsidR="002D4D80" w:rsidRDefault="00F512D2">
            <w:pPr>
              <w:pStyle w:val="a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on the Arts and Humanities, Hawaii, USA, January 2009. Conference Proceedings</w:t>
            </w:r>
          </w:p>
          <w:p w:rsidR="002D4D80" w:rsidRDefault="00F512D2">
            <w:pPr>
              <w:pStyle w:val="a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(2009).</w:t>
            </w:r>
          </w:p>
        </w:tc>
      </w:tr>
      <w:tr w:rsidR="002D4D80">
        <w:trPr>
          <w:trHeight w:val="550"/>
        </w:trPr>
        <w:tc>
          <w:tcPr>
            <w:tcW w:w="4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4D80" w:rsidRDefault="00F512D2">
            <w:r>
              <w:rPr>
                <w:b/>
                <w:bCs/>
                <w:sz w:val="22"/>
                <w:szCs w:val="22"/>
              </w:rPr>
              <w:t>РЕЗУЛТАТИ У РАЗВОЈУ ОБРАЗОВНО-НАУЧНЕ ОБЛАСТИ</w:t>
            </w:r>
          </w:p>
        </w:tc>
        <w:tc>
          <w:tcPr>
            <w:tcW w:w="9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6" w:type="dxa"/>
              <w:bottom w:w="80" w:type="dxa"/>
              <w:right w:w="80" w:type="dxa"/>
            </w:tcMar>
          </w:tcPr>
          <w:p w:rsidR="002D4D80" w:rsidRDefault="002D4D80"/>
        </w:tc>
      </w:tr>
      <w:tr w:rsidR="002D4D80">
        <w:trPr>
          <w:trHeight w:val="550"/>
        </w:trPr>
        <w:tc>
          <w:tcPr>
            <w:tcW w:w="4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4D80" w:rsidRDefault="00F512D2">
            <w:r>
              <w:rPr>
                <w:b/>
                <w:bCs/>
                <w:sz w:val="22"/>
                <w:szCs w:val="22"/>
              </w:rPr>
              <w:t>ЦИТИРАНОСТ НАУЧНИХ РЕЗУЛТАТА</w:t>
            </w:r>
          </w:p>
        </w:tc>
        <w:tc>
          <w:tcPr>
            <w:tcW w:w="9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4D80" w:rsidRDefault="002D4D80"/>
        </w:tc>
      </w:tr>
      <w:tr w:rsidR="002D4D80">
        <w:trPr>
          <w:trHeight w:val="550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:rsidR="002D4D80" w:rsidRDefault="00F512D2">
            <w:pPr>
              <w:ind w:left="113" w:right="113"/>
              <w:jc w:val="center"/>
            </w:pPr>
            <w:r>
              <w:rPr>
                <w:b/>
                <w:bCs/>
                <w:sz w:val="22"/>
                <w:szCs w:val="22"/>
              </w:rPr>
              <w:t>МЕЂУН</w:t>
            </w:r>
            <w:r>
              <w:rPr>
                <w:b/>
                <w:bCs/>
                <w:sz w:val="22"/>
                <w:szCs w:val="22"/>
              </w:rPr>
              <w:lastRenderedPageBreak/>
              <w:t>АРОДНА РЕПУТАЦИЈА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4D80" w:rsidRDefault="00F512D2">
            <w:r>
              <w:rPr>
                <w:sz w:val="20"/>
                <w:szCs w:val="20"/>
              </w:rPr>
              <w:lastRenderedPageBreak/>
              <w:t>ГОСТ УРЕДНИК МЕЂУНАРОДНОГ ЧАСОПИСА</w:t>
            </w:r>
          </w:p>
        </w:tc>
        <w:tc>
          <w:tcPr>
            <w:tcW w:w="9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4D80" w:rsidRDefault="002D4D80"/>
        </w:tc>
      </w:tr>
      <w:tr w:rsidR="002D4D80">
        <w:trPr>
          <w:trHeight w:val="1201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D80" w:rsidRDefault="002D4D80"/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4D80" w:rsidRDefault="00F512D2">
            <w:r>
              <w:rPr>
                <w:sz w:val="20"/>
                <w:szCs w:val="20"/>
              </w:rPr>
              <w:t>ПРЕДСЕДАВАО МЕЂУНАРОДНИМ НАУЧНИМ КОНФЕРЕНЦИЈАМА</w:t>
            </w:r>
          </w:p>
        </w:tc>
        <w:tc>
          <w:tcPr>
            <w:tcW w:w="9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4D80" w:rsidRDefault="00F512D2">
            <w:pPr>
              <w:pStyle w:val="a0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Asian Conference Series - Osaka, Japan (2009-2015) &amp; Kobe, Japan (2015-)</w:t>
            </w:r>
          </w:p>
          <w:p w:rsidR="002D4D80" w:rsidRDefault="00F512D2">
            <w:pPr>
              <w:pStyle w:val="a0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European Conference Series - Brighton, UK (2013 - )</w:t>
            </w:r>
          </w:p>
          <w:p w:rsidR="002D4D80" w:rsidRDefault="00F512D2">
            <w:pPr>
              <w:pStyle w:val="a0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North American Conference Series - Providence, USA (2014), Boston, USA (2017-)</w:t>
            </w:r>
          </w:p>
          <w:p w:rsidR="002D4D80" w:rsidRDefault="00F512D2">
            <w:pPr>
              <w:pStyle w:val="a0"/>
              <w:numPr>
                <w:ilvl w:val="0"/>
                <w:numId w:val="3"/>
              </w:numPr>
              <w:rPr>
                <w:rFonts w:ascii="Times New Roman" w:hAnsi="Times New Roman"/>
                <w:lang w:val="pt-PT"/>
              </w:rPr>
            </w:pPr>
            <w:r>
              <w:rPr>
                <w:rFonts w:ascii="Times New Roman" w:hAnsi="Times New Roman"/>
                <w:lang w:val="pt-PT"/>
              </w:rPr>
              <w:t>International Conference Series - Dubai, UAE (2015 - ), Hawaii, USA (2016 - ), Barcelona,</w:t>
            </w:r>
            <w:r>
              <w:rPr>
                <w:rFonts w:ascii="Times New Roman" w:hAnsi="Times New Roman"/>
              </w:rPr>
              <w:t xml:space="preserve"> Spain (2016 - ), Singapore (2017 - )</w:t>
            </w:r>
          </w:p>
        </w:tc>
      </w:tr>
      <w:tr w:rsidR="002D4D80">
        <w:trPr>
          <w:trHeight w:val="4801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D80" w:rsidRDefault="002D4D80"/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4D80" w:rsidRDefault="00F512D2">
            <w:r>
              <w:rPr>
                <w:sz w:val="20"/>
                <w:szCs w:val="20"/>
              </w:rPr>
              <w:t>ЧЛАНСТВО У УРЕЂИВАЧКИМ ОДБОРИМА МЕЂУНАРОДНИХ НАУЧНИХ ЧАСОПИСА</w:t>
            </w:r>
          </w:p>
        </w:tc>
        <w:tc>
          <w:tcPr>
            <w:tcW w:w="9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4D80" w:rsidRDefault="00F512D2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IAFOR Journal of Education (2010-)</w:t>
            </w:r>
          </w:p>
          <w:p w:rsidR="002D4D80" w:rsidRDefault="00F512D2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IAFOR Journal of Arts and Humanities (2010-)</w:t>
            </w:r>
          </w:p>
          <w:p w:rsidR="002D4D80" w:rsidRDefault="00F512D2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IAFOR Journal of Politics, Economics and Law (2014-)</w:t>
            </w:r>
          </w:p>
          <w:p w:rsidR="002D4D80" w:rsidRDefault="00F512D2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IAFOR Journal of Psychology and the Behavioral Sciences (2015-)</w:t>
            </w:r>
          </w:p>
          <w:p w:rsidR="002D4D80" w:rsidRDefault="00F512D2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IAFOR Journal of Literature and Librarianship (2011-)</w:t>
            </w:r>
          </w:p>
          <w:p w:rsidR="002D4D80" w:rsidRDefault="00F512D2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IAFOR Journal of the Social Sciences (2012-)</w:t>
            </w:r>
          </w:p>
          <w:p w:rsidR="002D4D80" w:rsidRDefault="00F512D2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IAFOR Journal of Language Learning (2014-)</w:t>
            </w:r>
          </w:p>
          <w:p w:rsidR="002D4D80" w:rsidRDefault="00F512D2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IAFOR Journal of Media, Communication and Film (2013-)</w:t>
            </w:r>
          </w:p>
          <w:p w:rsidR="002D4D80" w:rsidRDefault="00F512D2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IAFOR Journal of Business and Management (2014-)</w:t>
            </w:r>
          </w:p>
          <w:p w:rsidR="002D4D80" w:rsidRDefault="00F512D2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IAFOR Journal of Sustainability, Energy and the Environment (2013-)</w:t>
            </w:r>
          </w:p>
          <w:p w:rsidR="002D4D80" w:rsidRDefault="00F512D2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IAFOR Journal of Asian Studies (2013-)</w:t>
            </w:r>
          </w:p>
          <w:p w:rsidR="002D4D80" w:rsidRDefault="00F512D2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IAFOR Journal of Ethics, Religion and Philosophy (2013-)</w:t>
            </w:r>
          </w:p>
          <w:p w:rsidR="002D4D80" w:rsidRDefault="00F512D2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IAFOR Journal of Society, Education and Technology (2015-)</w:t>
            </w:r>
          </w:p>
          <w:p w:rsidR="002D4D80" w:rsidRDefault="00F512D2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IAFOR Journal of Cultural Studies (2015-)</w:t>
            </w:r>
          </w:p>
          <w:p w:rsidR="002D4D80" w:rsidRDefault="00F512D2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IAFOR Eye Magazine (2013-2015)</w:t>
            </w:r>
          </w:p>
          <w:p w:rsidR="002D4D80" w:rsidRDefault="00F512D2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IAFOR Academic Review (2014-2016)</w:t>
            </w:r>
          </w:p>
          <w:p w:rsidR="002D4D80" w:rsidRDefault="00F512D2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NUCB Journal of Language, Culture and Communication , Volumes 10.1, - 11.2(Autumn 2008-Spring 2010)</w:t>
            </w:r>
          </w:p>
          <w:p w:rsidR="002D4D80" w:rsidRDefault="00F512D2">
            <w:pPr>
              <w:pStyle w:val="a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NUCB Journal of Language, Culture and Communication , Volumes 8.2-9.2, Spring 2007-Spring 2008 (Co-Editor with J.E. Elliott).</w:t>
            </w:r>
          </w:p>
        </w:tc>
      </w:tr>
      <w:tr w:rsidR="002D4D80">
        <w:trPr>
          <w:trHeight w:val="55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D80" w:rsidRDefault="002D4D80"/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4D80" w:rsidRDefault="00F512D2">
            <w:r>
              <w:rPr>
                <w:sz w:val="20"/>
                <w:szCs w:val="20"/>
              </w:rPr>
              <w:t>АУТОР МЕЂУНАРОДНЕ МОНОГРАФИЈЕ</w:t>
            </w:r>
          </w:p>
        </w:tc>
        <w:tc>
          <w:tcPr>
            <w:tcW w:w="9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4D80" w:rsidRDefault="00F512D2">
            <w:pPr>
              <w:pStyle w:val="a0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Teaching English through the British Press (Course textbook), IEP Sciences-Po , Paris,</w:t>
            </w:r>
          </w:p>
          <w:p w:rsidR="002D4D80" w:rsidRDefault="00F512D2">
            <w:pPr>
              <w:pStyle w:val="a0"/>
              <w:rPr>
                <w:rFonts w:hint="eastAsia"/>
              </w:rPr>
            </w:pPr>
            <w:r>
              <w:rPr>
                <w:rFonts w:ascii="Times New Roman" w:hAnsi="Times New Roman"/>
              </w:rPr>
              <w:t>2004.</w:t>
            </w:r>
          </w:p>
        </w:tc>
      </w:tr>
      <w:tr w:rsidR="002D4D80">
        <w:trPr>
          <w:trHeight w:val="730"/>
        </w:trPr>
        <w:tc>
          <w:tcPr>
            <w:tcW w:w="4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4D80" w:rsidRDefault="00F512D2">
            <w:r>
              <w:rPr>
                <w:b/>
                <w:bCs/>
                <w:sz w:val="22"/>
                <w:szCs w:val="22"/>
              </w:rPr>
              <w:lastRenderedPageBreak/>
              <w:t>НАПОМЕНА</w:t>
            </w:r>
          </w:p>
        </w:tc>
        <w:tc>
          <w:tcPr>
            <w:tcW w:w="9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4D80" w:rsidRDefault="002D4D80"/>
        </w:tc>
      </w:tr>
    </w:tbl>
    <w:p w:rsidR="002D4D80" w:rsidRDefault="002D4D80">
      <w:pPr>
        <w:widowControl w:val="0"/>
      </w:pPr>
    </w:p>
    <w:p w:rsidR="002D4D80" w:rsidRDefault="002D4D80"/>
    <w:p w:rsidR="002D4D80" w:rsidRDefault="002D4D80"/>
    <w:p w:rsidR="002D4D80" w:rsidRDefault="002D4D80"/>
    <w:sectPr w:rsidR="002D4D80">
      <w:headerReference w:type="default" r:id="rId7"/>
      <w:footerReference w:type="default" r:id="rId8"/>
      <w:pgSz w:w="16840" w:h="11900" w:orient="landscape"/>
      <w:pgMar w:top="1253" w:right="1411" w:bottom="1022" w:left="113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2D2" w:rsidRDefault="00F512D2">
      <w:r>
        <w:separator/>
      </w:r>
    </w:p>
  </w:endnote>
  <w:endnote w:type="continuationSeparator" w:id="0">
    <w:p w:rsidR="00F512D2" w:rsidRDefault="00F51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ヒラギノ角ゴ ProN W3">
    <w:altName w:val="Times New Roman"/>
    <w:charset w:val="00"/>
    <w:family w:val="roman"/>
    <w:pitch w:val="default"/>
  </w:font>
  <w:font w:name="ヒラギノ角ゴ ProN W6">
    <w:altName w:val="MS Gothic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D80" w:rsidRDefault="002D4D80">
    <w:pPr>
      <w:pStyle w:val="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2D2" w:rsidRDefault="00F512D2">
      <w:r>
        <w:separator/>
      </w:r>
    </w:p>
  </w:footnote>
  <w:footnote w:type="continuationSeparator" w:id="0">
    <w:p w:rsidR="00F512D2" w:rsidRDefault="00F51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D80" w:rsidRDefault="002D4D80">
    <w:pPr>
      <w:pStyle w:val="a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05A38"/>
    <w:multiLevelType w:val="hybridMultilevel"/>
    <w:tmpl w:val="D0F83A5E"/>
    <w:lvl w:ilvl="0" w:tplc="7D18A6A0">
      <w:start w:val="1"/>
      <w:numFmt w:val="bullet"/>
      <w:lvlText w:val="•"/>
      <w:lvlJc w:val="left"/>
      <w:pPr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5BAFB38">
      <w:start w:val="1"/>
      <w:numFmt w:val="bullet"/>
      <w:lvlText w:val="•"/>
      <w:lvlJc w:val="left"/>
      <w:pPr>
        <w:ind w:left="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B42AAF4">
      <w:start w:val="1"/>
      <w:numFmt w:val="bullet"/>
      <w:lvlText w:val="•"/>
      <w:lvlJc w:val="left"/>
      <w:pPr>
        <w:ind w:left="1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9644B28">
      <w:start w:val="1"/>
      <w:numFmt w:val="bullet"/>
      <w:lvlText w:val="•"/>
      <w:lvlJc w:val="left"/>
      <w:pPr>
        <w:ind w:left="1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4A442DC">
      <w:start w:val="1"/>
      <w:numFmt w:val="bullet"/>
      <w:lvlText w:val="•"/>
      <w:lvlJc w:val="left"/>
      <w:pPr>
        <w:ind w:left="25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1AED0EE">
      <w:start w:val="1"/>
      <w:numFmt w:val="bullet"/>
      <w:lvlText w:val="•"/>
      <w:lvlJc w:val="left"/>
      <w:pPr>
        <w:ind w:left="3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DD059FC">
      <w:start w:val="1"/>
      <w:numFmt w:val="bullet"/>
      <w:lvlText w:val="•"/>
      <w:lvlJc w:val="left"/>
      <w:pPr>
        <w:ind w:left="3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6829630">
      <w:start w:val="1"/>
      <w:numFmt w:val="bullet"/>
      <w:lvlText w:val="•"/>
      <w:lvlJc w:val="left"/>
      <w:pPr>
        <w:ind w:left="4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9780508">
      <w:start w:val="1"/>
      <w:numFmt w:val="bullet"/>
      <w:lvlText w:val="•"/>
      <w:lvlJc w:val="left"/>
      <w:pPr>
        <w:ind w:left="4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3933FAF"/>
    <w:multiLevelType w:val="hybridMultilevel"/>
    <w:tmpl w:val="CF3E392C"/>
    <w:lvl w:ilvl="0" w:tplc="DD8A99B6">
      <w:start w:val="1"/>
      <w:numFmt w:val="bullet"/>
      <w:lvlText w:val="•"/>
      <w:lvlJc w:val="left"/>
      <w:pPr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F1AAC64">
      <w:start w:val="1"/>
      <w:numFmt w:val="bullet"/>
      <w:lvlText w:val="•"/>
      <w:lvlJc w:val="left"/>
      <w:pPr>
        <w:ind w:left="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968345A">
      <w:start w:val="1"/>
      <w:numFmt w:val="bullet"/>
      <w:lvlText w:val="•"/>
      <w:lvlJc w:val="left"/>
      <w:pPr>
        <w:ind w:left="1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4C8BDA2">
      <w:start w:val="1"/>
      <w:numFmt w:val="bullet"/>
      <w:lvlText w:val="•"/>
      <w:lvlJc w:val="left"/>
      <w:pPr>
        <w:ind w:left="1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B1C7A98">
      <w:start w:val="1"/>
      <w:numFmt w:val="bullet"/>
      <w:lvlText w:val="•"/>
      <w:lvlJc w:val="left"/>
      <w:pPr>
        <w:ind w:left="25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7F21490">
      <w:start w:val="1"/>
      <w:numFmt w:val="bullet"/>
      <w:lvlText w:val="•"/>
      <w:lvlJc w:val="left"/>
      <w:pPr>
        <w:ind w:left="3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7AC2874">
      <w:start w:val="1"/>
      <w:numFmt w:val="bullet"/>
      <w:lvlText w:val="•"/>
      <w:lvlJc w:val="left"/>
      <w:pPr>
        <w:ind w:left="3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12CB20">
      <w:start w:val="1"/>
      <w:numFmt w:val="bullet"/>
      <w:lvlText w:val="•"/>
      <w:lvlJc w:val="left"/>
      <w:pPr>
        <w:ind w:left="4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D6C1FA2">
      <w:start w:val="1"/>
      <w:numFmt w:val="bullet"/>
      <w:lvlText w:val="•"/>
      <w:lvlJc w:val="left"/>
      <w:pPr>
        <w:ind w:left="4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7FC6DDE"/>
    <w:multiLevelType w:val="hybridMultilevel"/>
    <w:tmpl w:val="3522CED4"/>
    <w:lvl w:ilvl="0" w:tplc="52363912">
      <w:start w:val="1"/>
      <w:numFmt w:val="bullet"/>
      <w:lvlText w:val="•"/>
      <w:lvlJc w:val="left"/>
      <w:pPr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52AD844">
      <w:start w:val="1"/>
      <w:numFmt w:val="bullet"/>
      <w:lvlText w:val="•"/>
      <w:lvlJc w:val="left"/>
      <w:pPr>
        <w:ind w:left="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380AEBA">
      <w:start w:val="1"/>
      <w:numFmt w:val="bullet"/>
      <w:lvlText w:val="•"/>
      <w:lvlJc w:val="left"/>
      <w:pPr>
        <w:ind w:left="1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258033E">
      <w:start w:val="1"/>
      <w:numFmt w:val="bullet"/>
      <w:lvlText w:val="•"/>
      <w:lvlJc w:val="left"/>
      <w:pPr>
        <w:ind w:left="1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3B2C2A2">
      <w:start w:val="1"/>
      <w:numFmt w:val="bullet"/>
      <w:lvlText w:val="•"/>
      <w:lvlJc w:val="left"/>
      <w:pPr>
        <w:ind w:left="25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C4A1EF2">
      <w:start w:val="1"/>
      <w:numFmt w:val="bullet"/>
      <w:lvlText w:val="•"/>
      <w:lvlJc w:val="left"/>
      <w:pPr>
        <w:ind w:left="3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E34E3A2">
      <w:start w:val="1"/>
      <w:numFmt w:val="bullet"/>
      <w:lvlText w:val="•"/>
      <w:lvlJc w:val="left"/>
      <w:pPr>
        <w:ind w:left="3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E60B41E">
      <w:start w:val="1"/>
      <w:numFmt w:val="bullet"/>
      <w:lvlText w:val="•"/>
      <w:lvlJc w:val="left"/>
      <w:pPr>
        <w:ind w:left="4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9E0F8D0">
      <w:start w:val="1"/>
      <w:numFmt w:val="bullet"/>
      <w:lvlText w:val="•"/>
      <w:lvlJc w:val="left"/>
      <w:pPr>
        <w:ind w:left="4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8FF5ABE"/>
    <w:multiLevelType w:val="hybridMultilevel"/>
    <w:tmpl w:val="0E7AA282"/>
    <w:lvl w:ilvl="0" w:tplc="EA9CEF10">
      <w:start w:val="1"/>
      <w:numFmt w:val="bullet"/>
      <w:lvlText w:val="•"/>
      <w:lvlJc w:val="left"/>
      <w:pPr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A68150">
      <w:start w:val="1"/>
      <w:numFmt w:val="bullet"/>
      <w:lvlText w:val="•"/>
      <w:lvlJc w:val="left"/>
      <w:pPr>
        <w:ind w:left="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5666E7C">
      <w:start w:val="1"/>
      <w:numFmt w:val="bullet"/>
      <w:lvlText w:val="•"/>
      <w:lvlJc w:val="left"/>
      <w:pPr>
        <w:ind w:left="1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F44BD5C">
      <w:start w:val="1"/>
      <w:numFmt w:val="bullet"/>
      <w:lvlText w:val="•"/>
      <w:lvlJc w:val="left"/>
      <w:pPr>
        <w:ind w:left="1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A3E106C">
      <w:start w:val="1"/>
      <w:numFmt w:val="bullet"/>
      <w:lvlText w:val="•"/>
      <w:lvlJc w:val="left"/>
      <w:pPr>
        <w:ind w:left="25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A2253FC">
      <w:start w:val="1"/>
      <w:numFmt w:val="bullet"/>
      <w:lvlText w:val="•"/>
      <w:lvlJc w:val="left"/>
      <w:pPr>
        <w:ind w:left="3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7696E6">
      <w:start w:val="1"/>
      <w:numFmt w:val="bullet"/>
      <w:lvlText w:val="•"/>
      <w:lvlJc w:val="left"/>
      <w:pPr>
        <w:ind w:left="3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B421B98">
      <w:start w:val="1"/>
      <w:numFmt w:val="bullet"/>
      <w:lvlText w:val="•"/>
      <w:lvlJc w:val="left"/>
      <w:pPr>
        <w:ind w:left="4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660BC22">
      <w:start w:val="1"/>
      <w:numFmt w:val="bullet"/>
      <w:lvlText w:val="•"/>
      <w:lvlJc w:val="left"/>
      <w:pPr>
        <w:ind w:left="4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7AF66FAD"/>
    <w:multiLevelType w:val="hybridMultilevel"/>
    <w:tmpl w:val="445CF5B4"/>
    <w:lvl w:ilvl="0" w:tplc="AFFA8042">
      <w:start w:val="1"/>
      <w:numFmt w:val="bullet"/>
      <w:lvlText w:val="•"/>
      <w:lvlJc w:val="left"/>
      <w:pPr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6C01536">
      <w:start w:val="1"/>
      <w:numFmt w:val="bullet"/>
      <w:lvlText w:val="•"/>
      <w:lvlJc w:val="left"/>
      <w:pPr>
        <w:ind w:left="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342EDFA">
      <w:start w:val="1"/>
      <w:numFmt w:val="bullet"/>
      <w:lvlText w:val="•"/>
      <w:lvlJc w:val="left"/>
      <w:pPr>
        <w:ind w:left="1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0E08DCA">
      <w:start w:val="1"/>
      <w:numFmt w:val="bullet"/>
      <w:lvlText w:val="•"/>
      <w:lvlJc w:val="left"/>
      <w:pPr>
        <w:ind w:left="1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7E04F06">
      <w:start w:val="1"/>
      <w:numFmt w:val="bullet"/>
      <w:lvlText w:val="•"/>
      <w:lvlJc w:val="left"/>
      <w:pPr>
        <w:ind w:left="25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574468A">
      <w:start w:val="1"/>
      <w:numFmt w:val="bullet"/>
      <w:lvlText w:val="•"/>
      <w:lvlJc w:val="left"/>
      <w:pPr>
        <w:ind w:left="3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5C8BDC4">
      <w:start w:val="1"/>
      <w:numFmt w:val="bullet"/>
      <w:lvlText w:val="•"/>
      <w:lvlJc w:val="left"/>
      <w:pPr>
        <w:ind w:left="3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29EFFF2">
      <w:start w:val="1"/>
      <w:numFmt w:val="bullet"/>
      <w:lvlText w:val="•"/>
      <w:lvlJc w:val="left"/>
      <w:pPr>
        <w:ind w:left="4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161B5C">
      <w:start w:val="1"/>
      <w:numFmt w:val="bullet"/>
      <w:lvlText w:val="•"/>
      <w:lvlJc w:val="left"/>
      <w:pPr>
        <w:ind w:left="4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D80"/>
    <w:rsid w:val="002D4D80"/>
    <w:rsid w:val="00760980"/>
    <w:rsid w:val="00F512D2"/>
    <w:rsid w:val="00FC1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2017D02-6FF1-4CC4-B828-B47929ED8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a">
    <w:name w:val="ヘッダとフッタ"/>
    <w:pPr>
      <w:tabs>
        <w:tab w:val="right" w:pos="9020"/>
      </w:tabs>
    </w:pPr>
    <w:rPr>
      <w:rFonts w:ascii="ヒラギノ角ゴ ProN W3" w:hAnsi="ヒラギノ角ゴ ProN W3" w:cs="Arial Unicode MS"/>
      <w:color w:val="000000"/>
      <w:sz w:val="24"/>
      <w:szCs w:val="24"/>
    </w:rPr>
  </w:style>
  <w:style w:type="paragraph" w:customStyle="1" w:styleId="a0">
    <w:name w:val="デフォルト"/>
    <w:rPr>
      <w:rFonts w:ascii="ヒラギノ角ゴ ProN W3" w:hAnsi="ヒラギノ角ゴ ProN W3" w:cs="Arial Unicode MS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Dekanat</dc:creator>
  <cp:lastModifiedBy>Jelena Jevremovic</cp:lastModifiedBy>
  <cp:revision>2</cp:revision>
  <dcterms:created xsi:type="dcterms:W3CDTF">2017-11-27T13:25:00Z</dcterms:created>
  <dcterms:modified xsi:type="dcterms:W3CDTF">2017-11-27T13:25:00Z</dcterms:modified>
</cp:coreProperties>
</file>